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59DE" w14:textId="77777777" w:rsidR="000C3338" w:rsidRDefault="000C3338" w:rsidP="00655549">
      <w:pPr>
        <w:rPr>
          <w:rFonts w:ascii="CIBFont Sans" w:hAnsi="CIBFont Sans"/>
          <w:b/>
          <w:bCs/>
          <w:lang w:val="es-ES"/>
        </w:rPr>
      </w:pPr>
    </w:p>
    <w:p w14:paraId="551D0D4D" w14:textId="4331F763" w:rsidR="000C3338" w:rsidRPr="00905EE4" w:rsidRDefault="000C3338" w:rsidP="000C3338">
      <w:pPr>
        <w:jc w:val="center"/>
        <w:rPr>
          <w:rFonts w:ascii="CIBFont Sans" w:hAnsi="CIBFont Sans"/>
          <w:b/>
          <w:bCs/>
          <w:lang w:val="es-ES"/>
        </w:rPr>
      </w:pPr>
      <w:r w:rsidRPr="00905EE4">
        <w:rPr>
          <w:rFonts w:ascii="CIBFont Sans" w:hAnsi="CIBFont Sans"/>
          <w:b/>
          <w:bCs/>
          <w:lang w:val="es-ES"/>
        </w:rPr>
        <w:t>HECHO DE IMPORTANCIA</w:t>
      </w:r>
    </w:p>
    <w:p w14:paraId="56941DA3" w14:textId="77777777" w:rsidR="000C3338" w:rsidRDefault="000C3338" w:rsidP="000C3338">
      <w:pPr>
        <w:jc w:val="center"/>
        <w:rPr>
          <w:rFonts w:ascii="CIBFont Sans" w:hAnsi="CIBFont Sans"/>
          <w:sz w:val="20"/>
          <w:szCs w:val="20"/>
          <w:lang w:val="es-ES"/>
        </w:rPr>
      </w:pPr>
    </w:p>
    <w:p w14:paraId="0B41C7D1" w14:textId="77777777" w:rsidR="000C3338" w:rsidRDefault="000C3338" w:rsidP="000C3338">
      <w:pPr>
        <w:jc w:val="both"/>
        <w:rPr>
          <w:rFonts w:ascii="CIBFont Sans" w:hAnsi="CIBFont Sans"/>
          <w:sz w:val="20"/>
          <w:szCs w:val="20"/>
          <w:lang w:val="es-ES"/>
        </w:rPr>
      </w:pPr>
    </w:p>
    <w:p w14:paraId="759B48FB" w14:textId="77777777" w:rsidR="000C3338" w:rsidRDefault="000C3338" w:rsidP="000C3338">
      <w:pPr>
        <w:jc w:val="both"/>
        <w:rPr>
          <w:rFonts w:ascii="CIBFont Sans" w:hAnsi="CIBFont Sans"/>
          <w:sz w:val="20"/>
          <w:szCs w:val="20"/>
          <w:lang w:val="es-ES"/>
        </w:rPr>
      </w:pPr>
    </w:p>
    <w:p w14:paraId="614BBDE4" w14:textId="11533769" w:rsidR="000C3338" w:rsidRDefault="000C3338" w:rsidP="000C3338">
      <w:pPr>
        <w:jc w:val="both"/>
        <w:rPr>
          <w:rFonts w:ascii="CIBFont Sans" w:hAnsi="CIBFont Sans"/>
          <w:sz w:val="20"/>
          <w:szCs w:val="20"/>
          <w:lang w:val="es-ES"/>
        </w:rPr>
      </w:pPr>
      <w:r w:rsidRPr="00905EE4">
        <w:rPr>
          <w:rFonts w:ascii="CIBFont Sans" w:hAnsi="CIBFont Sans"/>
          <w:sz w:val="20"/>
          <w:szCs w:val="20"/>
          <w:lang w:val="es-ES"/>
        </w:rPr>
        <w:t>En cumplimiento del Acuerdo No. 3-2008 de 31 de marzo de 2008</w:t>
      </w:r>
      <w:r>
        <w:rPr>
          <w:rFonts w:ascii="CIBFont Sans" w:hAnsi="CIBFont Sans"/>
          <w:sz w:val="20"/>
          <w:szCs w:val="20"/>
          <w:lang w:val="es-ES"/>
        </w:rPr>
        <w:t xml:space="preserve"> y en virtud de lo comunicado por la Dirección de Emisores de la Superintendencia de Mercado de Valores (la “SMV”) el día 24 de febrero de 2022, en donde indican no tener observaciones u objeciones a nuestro comunicado adjunto enviado a la SMV en observación de </w:t>
      </w:r>
      <w:r w:rsidRPr="00A41A91">
        <w:rPr>
          <w:rFonts w:ascii="CIBFont Sans" w:hAnsi="CIBFont Sans"/>
          <w:sz w:val="20"/>
          <w:szCs w:val="20"/>
          <w:lang w:val="es-ES"/>
        </w:rPr>
        <w:t>lo dispuesto en el artículo 16 del Acuerdo No. 8-2000 de 22 de mayo de 2000</w:t>
      </w:r>
      <w:r>
        <w:rPr>
          <w:rFonts w:ascii="CIBFont Sans" w:hAnsi="CIBFont Sans"/>
          <w:sz w:val="20"/>
          <w:szCs w:val="20"/>
          <w:lang w:val="es-ES"/>
        </w:rPr>
        <w:t xml:space="preserve"> sobre cambio de auditores externos, por este medio informamos al público inversionista que Fondo Renta Fija Valor, S.A. ha designado a la firma BDO PANAMA como sus nuevos auditores externos en reemplazo de Deloitte, Inc..  </w:t>
      </w:r>
    </w:p>
    <w:p w14:paraId="31C0C5A5" w14:textId="77777777" w:rsidR="000C3338" w:rsidRDefault="000C3338" w:rsidP="000C3338">
      <w:pPr>
        <w:jc w:val="both"/>
        <w:rPr>
          <w:rFonts w:ascii="CIBFont Sans" w:hAnsi="CIBFont Sans"/>
          <w:sz w:val="20"/>
          <w:szCs w:val="20"/>
          <w:lang w:val="es-ES"/>
        </w:rPr>
      </w:pPr>
    </w:p>
    <w:p w14:paraId="4B6B2169" w14:textId="0DD8F29D" w:rsidR="000C3338" w:rsidRDefault="000C3338" w:rsidP="000C3338">
      <w:pPr>
        <w:jc w:val="both"/>
        <w:rPr>
          <w:rFonts w:ascii="CIBFont Sans" w:hAnsi="CIBFont Sans"/>
          <w:sz w:val="20"/>
          <w:szCs w:val="20"/>
          <w:lang w:val="es-ES"/>
        </w:rPr>
      </w:pPr>
      <w:r>
        <w:rPr>
          <w:rFonts w:ascii="CIBFont Sans" w:hAnsi="CIBFont Sans"/>
          <w:sz w:val="20"/>
          <w:szCs w:val="20"/>
          <w:lang w:val="es-ES"/>
        </w:rPr>
        <w:t>Adjunto al presente comunicado también encontrarán carta mediante la cual comunicamos dicho cambio a la SMV, al igual que nota emitida por Deloitte, Inc. mediante la cual manifiestan no haber tenido desacuerdos con Fondo Renta Fija Valor, S.A.</w:t>
      </w:r>
    </w:p>
    <w:p w14:paraId="67ED8425" w14:textId="77777777" w:rsidR="000C3338" w:rsidRDefault="000C3338" w:rsidP="000C3338">
      <w:pPr>
        <w:jc w:val="both"/>
        <w:rPr>
          <w:rFonts w:ascii="CIBFont Sans" w:hAnsi="CIBFont Sans"/>
          <w:sz w:val="20"/>
          <w:szCs w:val="20"/>
          <w:lang w:val="es-ES"/>
        </w:rPr>
      </w:pPr>
    </w:p>
    <w:p w14:paraId="1DF378D4" w14:textId="7577636E" w:rsidR="000C3338" w:rsidRDefault="000C3338" w:rsidP="000C3338">
      <w:pPr>
        <w:jc w:val="both"/>
        <w:rPr>
          <w:rFonts w:ascii="CIBFont Sans" w:hAnsi="CIBFont Sans"/>
          <w:sz w:val="20"/>
          <w:szCs w:val="20"/>
          <w:lang w:val="es-ES"/>
        </w:rPr>
      </w:pPr>
      <w:r>
        <w:rPr>
          <w:rFonts w:ascii="CIBFont Sans" w:hAnsi="CIBFont Sans"/>
          <w:sz w:val="20"/>
          <w:szCs w:val="20"/>
          <w:lang w:val="es-ES"/>
        </w:rPr>
        <w:t xml:space="preserve">Los </w:t>
      </w:r>
      <w:r w:rsidRPr="009B05C8">
        <w:rPr>
          <w:rFonts w:ascii="CIBFont Sans" w:hAnsi="CIBFont Sans"/>
          <w:sz w:val="20"/>
          <w:szCs w:val="20"/>
          <w:lang w:val="es-ES"/>
        </w:rPr>
        <w:t>informe</w:t>
      </w:r>
      <w:r>
        <w:rPr>
          <w:rFonts w:ascii="CIBFont Sans" w:hAnsi="CIBFont Sans"/>
          <w:sz w:val="20"/>
          <w:szCs w:val="20"/>
          <w:lang w:val="es-ES"/>
        </w:rPr>
        <w:t>s</w:t>
      </w:r>
      <w:r w:rsidRPr="009B05C8">
        <w:rPr>
          <w:rFonts w:ascii="CIBFont Sans" w:hAnsi="CIBFont Sans"/>
          <w:sz w:val="20"/>
          <w:szCs w:val="20"/>
          <w:lang w:val="es-ES"/>
        </w:rPr>
        <w:t xml:space="preserve"> preparado</w:t>
      </w:r>
      <w:r>
        <w:rPr>
          <w:rFonts w:ascii="CIBFont Sans" w:hAnsi="CIBFont Sans"/>
          <w:sz w:val="20"/>
          <w:szCs w:val="20"/>
          <w:lang w:val="es-ES"/>
        </w:rPr>
        <w:t>s</w:t>
      </w:r>
      <w:r w:rsidRPr="009B05C8">
        <w:rPr>
          <w:rFonts w:ascii="CIBFont Sans" w:hAnsi="CIBFont Sans"/>
          <w:sz w:val="20"/>
          <w:szCs w:val="20"/>
          <w:lang w:val="es-ES"/>
        </w:rPr>
        <w:t xml:space="preserve"> por </w:t>
      </w:r>
      <w:r>
        <w:rPr>
          <w:rFonts w:ascii="CIBFont Sans" w:hAnsi="CIBFont Sans"/>
          <w:sz w:val="20"/>
          <w:szCs w:val="20"/>
          <w:lang w:val="es-ES"/>
        </w:rPr>
        <w:t xml:space="preserve">Deloitte, Inc. </w:t>
      </w:r>
      <w:r w:rsidRPr="009B05C8">
        <w:rPr>
          <w:rFonts w:ascii="CIBFont Sans" w:hAnsi="CIBFont Sans"/>
          <w:sz w:val="20"/>
          <w:szCs w:val="20"/>
          <w:lang w:val="es-ES"/>
        </w:rPr>
        <w:t>para los últimos dos</w:t>
      </w:r>
      <w:r>
        <w:rPr>
          <w:rFonts w:ascii="CIBFont Sans" w:hAnsi="CIBFont Sans"/>
          <w:sz w:val="20"/>
          <w:szCs w:val="20"/>
          <w:lang w:val="es-ES"/>
        </w:rPr>
        <w:t xml:space="preserve"> </w:t>
      </w:r>
      <w:r w:rsidRPr="009B05C8">
        <w:rPr>
          <w:rFonts w:ascii="CIBFont Sans" w:hAnsi="CIBFont Sans"/>
          <w:sz w:val="20"/>
          <w:szCs w:val="20"/>
          <w:lang w:val="es-ES"/>
        </w:rPr>
        <w:t xml:space="preserve">años </w:t>
      </w:r>
      <w:r>
        <w:rPr>
          <w:rFonts w:ascii="CIBFont Sans" w:hAnsi="CIBFont Sans"/>
          <w:sz w:val="20"/>
          <w:szCs w:val="20"/>
          <w:lang w:val="es-ES"/>
        </w:rPr>
        <w:t xml:space="preserve">no </w:t>
      </w:r>
      <w:r w:rsidRPr="009B05C8">
        <w:rPr>
          <w:rFonts w:ascii="CIBFont Sans" w:hAnsi="CIBFont Sans"/>
          <w:sz w:val="20"/>
          <w:szCs w:val="20"/>
          <w:lang w:val="es-ES"/>
        </w:rPr>
        <w:t>contenía</w:t>
      </w:r>
      <w:r>
        <w:rPr>
          <w:rFonts w:ascii="CIBFont Sans" w:hAnsi="CIBFont Sans"/>
          <w:sz w:val="20"/>
          <w:szCs w:val="20"/>
          <w:lang w:val="es-ES"/>
        </w:rPr>
        <w:t>n</w:t>
      </w:r>
      <w:r w:rsidRPr="009B05C8">
        <w:rPr>
          <w:rFonts w:ascii="CIBFont Sans" w:hAnsi="CIBFont Sans"/>
          <w:sz w:val="20"/>
          <w:szCs w:val="20"/>
          <w:lang w:val="es-ES"/>
        </w:rPr>
        <w:t xml:space="preserve"> una opinión adversa.</w:t>
      </w:r>
      <w:r>
        <w:rPr>
          <w:rFonts w:ascii="CIBFont Sans" w:hAnsi="CIBFont Sans"/>
          <w:sz w:val="20"/>
          <w:szCs w:val="20"/>
          <w:lang w:val="es-ES"/>
        </w:rPr>
        <w:t xml:space="preserve"> L</w:t>
      </w:r>
      <w:r w:rsidRPr="009B05C8">
        <w:rPr>
          <w:rFonts w:ascii="CIBFont Sans" w:hAnsi="CIBFont Sans"/>
          <w:sz w:val="20"/>
          <w:szCs w:val="20"/>
          <w:lang w:val="es-ES"/>
        </w:rPr>
        <w:t>a decisión de cambiar de auditor</w:t>
      </w:r>
      <w:r>
        <w:rPr>
          <w:rFonts w:ascii="CIBFont Sans" w:hAnsi="CIBFont Sans"/>
          <w:sz w:val="20"/>
          <w:szCs w:val="20"/>
          <w:lang w:val="es-ES"/>
        </w:rPr>
        <w:t>es</w:t>
      </w:r>
      <w:r w:rsidRPr="009B05C8">
        <w:rPr>
          <w:rFonts w:ascii="CIBFont Sans" w:hAnsi="CIBFont Sans"/>
          <w:sz w:val="20"/>
          <w:szCs w:val="20"/>
          <w:lang w:val="es-ES"/>
        </w:rPr>
        <w:t xml:space="preserve"> externo</w:t>
      </w:r>
      <w:r>
        <w:rPr>
          <w:rFonts w:ascii="CIBFont Sans" w:hAnsi="CIBFont Sans"/>
          <w:sz w:val="20"/>
          <w:szCs w:val="20"/>
          <w:lang w:val="es-ES"/>
        </w:rPr>
        <w:t>s</w:t>
      </w:r>
      <w:r w:rsidRPr="009B05C8">
        <w:rPr>
          <w:rFonts w:ascii="CIBFont Sans" w:hAnsi="CIBFont Sans"/>
          <w:sz w:val="20"/>
          <w:szCs w:val="20"/>
          <w:lang w:val="es-ES"/>
        </w:rPr>
        <w:t xml:space="preserve"> fue recomendada </w:t>
      </w:r>
      <w:r>
        <w:rPr>
          <w:rFonts w:ascii="CIBFont Sans" w:hAnsi="CIBFont Sans"/>
          <w:sz w:val="20"/>
          <w:szCs w:val="20"/>
          <w:lang w:val="es-ES"/>
        </w:rPr>
        <w:t xml:space="preserve">y aprobada </w:t>
      </w:r>
      <w:r w:rsidRPr="009B05C8">
        <w:rPr>
          <w:rFonts w:ascii="CIBFont Sans" w:hAnsi="CIBFont Sans"/>
          <w:sz w:val="20"/>
          <w:szCs w:val="20"/>
          <w:lang w:val="es-ES"/>
        </w:rPr>
        <w:t>por la</w:t>
      </w:r>
      <w:r>
        <w:rPr>
          <w:rFonts w:ascii="CIBFont Sans" w:hAnsi="CIBFont Sans"/>
          <w:sz w:val="20"/>
          <w:szCs w:val="20"/>
          <w:lang w:val="es-ES"/>
        </w:rPr>
        <w:t xml:space="preserve"> junta directiva. El fondo</w:t>
      </w:r>
      <w:r w:rsidRPr="009B05C8">
        <w:rPr>
          <w:rFonts w:ascii="CIBFont Sans" w:hAnsi="CIBFont Sans"/>
          <w:sz w:val="20"/>
          <w:szCs w:val="20"/>
          <w:lang w:val="es-ES"/>
        </w:rPr>
        <w:t xml:space="preserve"> </w:t>
      </w:r>
      <w:r>
        <w:rPr>
          <w:rFonts w:ascii="CIBFont Sans" w:hAnsi="CIBFont Sans"/>
          <w:sz w:val="20"/>
          <w:szCs w:val="20"/>
          <w:lang w:val="es-ES"/>
        </w:rPr>
        <w:t>no tuvo</w:t>
      </w:r>
      <w:r w:rsidRPr="009B05C8">
        <w:rPr>
          <w:rFonts w:ascii="CIBFont Sans" w:hAnsi="CIBFont Sans"/>
          <w:sz w:val="20"/>
          <w:szCs w:val="20"/>
          <w:lang w:val="es-ES"/>
        </w:rPr>
        <w:t xml:space="preserve"> desacuerdos</w:t>
      </w:r>
      <w:r>
        <w:rPr>
          <w:rFonts w:ascii="CIBFont Sans" w:hAnsi="CIBFont Sans"/>
          <w:sz w:val="20"/>
          <w:szCs w:val="20"/>
          <w:lang w:val="es-ES"/>
        </w:rPr>
        <w:t xml:space="preserve"> con Deloitte, Inc.</w:t>
      </w:r>
      <w:r w:rsidRPr="009B05C8">
        <w:rPr>
          <w:rFonts w:ascii="CIBFont Sans" w:hAnsi="CIBFont Sans"/>
          <w:sz w:val="20"/>
          <w:szCs w:val="20"/>
          <w:lang w:val="es-ES"/>
        </w:rPr>
        <w:t xml:space="preserve"> por cualquier asunto relacionado con principios o</w:t>
      </w:r>
      <w:r>
        <w:rPr>
          <w:rFonts w:ascii="CIBFont Sans" w:hAnsi="CIBFont Sans"/>
          <w:sz w:val="20"/>
          <w:szCs w:val="20"/>
          <w:lang w:val="es-ES"/>
        </w:rPr>
        <w:t xml:space="preserve"> </w:t>
      </w:r>
      <w:r w:rsidRPr="009B05C8">
        <w:rPr>
          <w:rFonts w:ascii="CIBFont Sans" w:hAnsi="CIBFont Sans"/>
          <w:sz w:val="20"/>
          <w:szCs w:val="20"/>
          <w:lang w:val="es-ES"/>
        </w:rPr>
        <w:t>prácticas contables, revelaciones en los estados financieros o en el enfoque para</w:t>
      </w:r>
      <w:r>
        <w:rPr>
          <w:rFonts w:ascii="CIBFont Sans" w:hAnsi="CIBFont Sans"/>
          <w:sz w:val="20"/>
          <w:szCs w:val="20"/>
          <w:lang w:val="es-ES"/>
        </w:rPr>
        <w:t xml:space="preserve"> </w:t>
      </w:r>
      <w:r w:rsidRPr="009B05C8">
        <w:rPr>
          <w:rFonts w:ascii="CIBFont Sans" w:hAnsi="CIBFont Sans"/>
          <w:sz w:val="20"/>
          <w:szCs w:val="20"/>
          <w:lang w:val="es-ES"/>
        </w:rPr>
        <w:t>desarrollar los procedimientos de auditoria</w:t>
      </w:r>
    </w:p>
    <w:p w14:paraId="206F1A62" w14:textId="77777777" w:rsidR="000C3338" w:rsidRPr="005D75A6" w:rsidRDefault="000C3338" w:rsidP="000C3338">
      <w:pPr>
        <w:jc w:val="both"/>
        <w:rPr>
          <w:rFonts w:ascii="CIBFont Sans" w:hAnsi="CIBFont Sans"/>
          <w:sz w:val="20"/>
          <w:szCs w:val="20"/>
          <w:lang w:val="es-ES"/>
        </w:rPr>
      </w:pPr>
    </w:p>
    <w:p w14:paraId="6153F25F" w14:textId="77777777" w:rsidR="000C3338" w:rsidRPr="00905EE4" w:rsidRDefault="000C3338" w:rsidP="000C3338">
      <w:pPr>
        <w:ind w:right="567"/>
        <w:rPr>
          <w:rFonts w:ascii="CIBFont Sans" w:hAnsi="CIBFont Sans"/>
          <w:sz w:val="20"/>
          <w:szCs w:val="20"/>
          <w:lang w:val="es-ES"/>
        </w:rPr>
      </w:pPr>
      <w:r w:rsidRPr="00905EE4">
        <w:rPr>
          <w:rFonts w:ascii="CIBFont Sans" w:hAnsi="CIBFont Sans"/>
          <w:sz w:val="20"/>
          <w:szCs w:val="20"/>
          <w:lang w:val="es-ES"/>
        </w:rPr>
        <w:t>Panamá,</w:t>
      </w:r>
      <w:r>
        <w:rPr>
          <w:rFonts w:ascii="CIBFont Sans" w:hAnsi="CIBFont Sans"/>
          <w:sz w:val="20"/>
          <w:szCs w:val="20"/>
          <w:lang w:val="es-ES"/>
        </w:rPr>
        <w:t xml:space="preserve"> 25 de febrero de 2022. </w:t>
      </w:r>
      <w:r w:rsidRPr="00905EE4">
        <w:rPr>
          <w:rFonts w:ascii="CIBFont Sans" w:hAnsi="CIBFont Sans"/>
          <w:sz w:val="20"/>
          <w:szCs w:val="20"/>
          <w:lang w:val="es-ES"/>
        </w:rPr>
        <w:t xml:space="preserve"> </w:t>
      </w:r>
    </w:p>
    <w:p w14:paraId="6C861F5E" w14:textId="77777777" w:rsidR="000C3338" w:rsidRPr="00905EE4" w:rsidRDefault="000C3338" w:rsidP="000C3338">
      <w:pPr>
        <w:ind w:right="567"/>
        <w:rPr>
          <w:rFonts w:ascii="CIBFont Sans" w:hAnsi="CIBFont Sans"/>
          <w:sz w:val="20"/>
          <w:szCs w:val="20"/>
          <w:lang w:val="es-ES"/>
        </w:rPr>
      </w:pPr>
    </w:p>
    <w:p w14:paraId="706E58D3" w14:textId="77777777" w:rsidR="000C3338" w:rsidRPr="00905EE4" w:rsidRDefault="000C3338" w:rsidP="000C3338">
      <w:pPr>
        <w:ind w:right="567"/>
        <w:rPr>
          <w:rFonts w:ascii="CIBFont Sans" w:hAnsi="CIBFont Sans"/>
          <w:sz w:val="20"/>
          <w:szCs w:val="20"/>
          <w:lang w:val="es-ES"/>
        </w:rPr>
      </w:pPr>
    </w:p>
    <w:p w14:paraId="54528446" w14:textId="77777777" w:rsidR="000C3338" w:rsidRPr="00905EE4" w:rsidRDefault="000C3338" w:rsidP="000C3338">
      <w:pPr>
        <w:ind w:right="567"/>
        <w:rPr>
          <w:rFonts w:ascii="CIBFont Sans" w:hAnsi="CIBFont Sans"/>
          <w:sz w:val="20"/>
          <w:szCs w:val="20"/>
          <w:lang w:val="es-ES"/>
        </w:rPr>
      </w:pPr>
    </w:p>
    <w:p w14:paraId="7CA94160" w14:textId="77777777" w:rsidR="000C3338" w:rsidRDefault="000C3338" w:rsidP="000C3338">
      <w:pPr>
        <w:ind w:right="567"/>
        <w:rPr>
          <w:rFonts w:ascii="CIBFont Sans" w:hAnsi="CIBFont Sans"/>
          <w:sz w:val="20"/>
          <w:szCs w:val="20"/>
          <w:lang w:val="es-ES"/>
        </w:rPr>
      </w:pPr>
      <w:r>
        <w:rPr>
          <w:noProof/>
        </w:rPr>
        <w:drawing>
          <wp:inline distT="0" distB="0" distL="0" distR="0" wp14:anchorId="78914C1A" wp14:editId="792170A3">
            <wp:extent cx="876300" cy="238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p w14:paraId="043DF8D0" w14:textId="77777777" w:rsidR="000C3338" w:rsidRDefault="000C3338" w:rsidP="000C3338">
      <w:pPr>
        <w:ind w:right="567"/>
        <w:rPr>
          <w:rFonts w:ascii="CIBFont Sans" w:hAnsi="CIBFont Sans"/>
          <w:sz w:val="20"/>
          <w:szCs w:val="20"/>
          <w:lang w:val="es-ES"/>
        </w:rPr>
      </w:pPr>
    </w:p>
    <w:p w14:paraId="587EFDA1" w14:textId="77777777" w:rsidR="000C3338" w:rsidRPr="00905EE4" w:rsidRDefault="000C3338" w:rsidP="000C3338">
      <w:pPr>
        <w:ind w:right="567"/>
        <w:rPr>
          <w:rFonts w:ascii="CIBFont Sans" w:hAnsi="CIBFont Sans"/>
          <w:sz w:val="20"/>
          <w:szCs w:val="20"/>
          <w:lang w:val="es-ES"/>
        </w:rPr>
      </w:pPr>
      <w:r w:rsidRPr="00905EE4">
        <w:rPr>
          <w:rFonts w:ascii="CIBFont Sans" w:hAnsi="CIBFont Sans"/>
          <w:sz w:val="20"/>
          <w:szCs w:val="20"/>
          <w:lang w:val="es-ES"/>
        </w:rPr>
        <w:t xml:space="preserve">Dayra Pimentel </w:t>
      </w:r>
    </w:p>
    <w:p w14:paraId="1AD500ED" w14:textId="76785288" w:rsidR="000C3338" w:rsidRDefault="000C3338" w:rsidP="000C3338">
      <w:pPr>
        <w:ind w:right="567"/>
        <w:rPr>
          <w:rFonts w:ascii="CIBFont Sans" w:hAnsi="CIBFont Sans"/>
          <w:sz w:val="20"/>
          <w:szCs w:val="20"/>
          <w:lang w:val="es-ES"/>
        </w:rPr>
      </w:pPr>
      <w:bookmarkStart w:id="0" w:name="_Hlk96683060"/>
      <w:r w:rsidRPr="00905EE4">
        <w:rPr>
          <w:rFonts w:ascii="CIBFont Sans" w:hAnsi="CIBFont Sans"/>
          <w:sz w:val="20"/>
          <w:szCs w:val="20"/>
          <w:lang w:val="es-ES"/>
        </w:rPr>
        <w:t>Apoderada</w:t>
      </w:r>
      <w:r w:rsidR="006D226B">
        <w:rPr>
          <w:rFonts w:ascii="CIBFont Sans" w:hAnsi="CIBFont Sans"/>
          <w:sz w:val="20"/>
          <w:szCs w:val="20"/>
          <w:lang w:val="es-ES"/>
        </w:rPr>
        <w:t xml:space="preserve"> de</w:t>
      </w:r>
      <w:r w:rsidR="00FE6317">
        <w:rPr>
          <w:rFonts w:ascii="CIBFont Sans" w:hAnsi="CIBFont Sans"/>
          <w:sz w:val="20"/>
          <w:szCs w:val="20"/>
          <w:lang w:val="es-ES"/>
        </w:rPr>
        <w:t xml:space="preserve"> Valores Banistmo, S.A.</w:t>
      </w:r>
    </w:p>
    <w:p w14:paraId="0A43AB1D" w14:textId="77777777" w:rsidR="00FE6317" w:rsidRDefault="00FE6317" w:rsidP="00FE6317">
      <w:pPr>
        <w:jc w:val="both"/>
        <w:rPr>
          <w:rFonts w:ascii="CIBFont Sans" w:hAnsi="CIBFont Sans"/>
          <w:sz w:val="20"/>
          <w:szCs w:val="20"/>
          <w:lang w:val="es-ES"/>
        </w:rPr>
      </w:pPr>
      <w:r>
        <w:rPr>
          <w:rFonts w:ascii="CIBFont Sans" w:hAnsi="CIBFont Sans"/>
          <w:sz w:val="20"/>
          <w:szCs w:val="20"/>
          <w:lang w:val="es-ES"/>
        </w:rPr>
        <w:t>Administrador de Fondo Renta Fija Valor, S.A.</w:t>
      </w:r>
    </w:p>
    <w:p w14:paraId="6108252A" w14:textId="77777777" w:rsidR="00FE6317" w:rsidRDefault="00FE6317" w:rsidP="00FE6317">
      <w:pPr>
        <w:jc w:val="both"/>
        <w:rPr>
          <w:rFonts w:ascii="CIBFont Sans" w:hAnsi="CIBFont Sans"/>
          <w:sz w:val="20"/>
          <w:szCs w:val="20"/>
          <w:lang w:val="es-ES"/>
        </w:rPr>
      </w:pPr>
    </w:p>
    <w:p w14:paraId="1EB212F6" w14:textId="1086ADDA" w:rsidR="00FE6317" w:rsidRPr="00905EE4" w:rsidRDefault="00FE6317" w:rsidP="000C3338">
      <w:pPr>
        <w:ind w:right="567"/>
        <w:rPr>
          <w:rFonts w:ascii="CIBFont Sans" w:hAnsi="CIBFont Sans"/>
          <w:sz w:val="20"/>
          <w:szCs w:val="20"/>
          <w:lang w:val="es-ES"/>
        </w:rPr>
      </w:pPr>
    </w:p>
    <w:bookmarkEnd w:id="0"/>
    <w:p w14:paraId="46EE69B1" w14:textId="064D0DF4" w:rsidR="00905EE4" w:rsidRPr="00905EE4" w:rsidRDefault="00905EE4" w:rsidP="008B64B5">
      <w:pPr>
        <w:ind w:right="567"/>
        <w:rPr>
          <w:rFonts w:ascii="CIBFont Sans" w:hAnsi="CIBFont Sans"/>
          <w:sz w:val="20"/>
          <w:szCs w:val="20"/>
          <w:lang w:val="es-ES"/>
        </w:rPr>
      </w:pPr>
    </w:p>
    <w:sectPr w:rsidR="00905EE4" w:rsidRPr="00905EE4" w:rsidSect="008B64B5">
      <w:headerReference w:type="default" r:id="rId11"/>
      <w:pgSz w:w="12240" w:h="15840"/>
      <w:pgMar w:top="197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35EE" w14:textId="77777777" w:rsidR="00A866B8" w:rsidRDefault="00A866B8" w:rsidP="000247B7">
      <w:r>
        <w:separator/>
      </w:r>
    </w:p>
  </w:endnote>
  <w:endnote w:type="continuationSeparator" w:id="0">
    <w:p w14:paraId="6463693A" w14:textId="77777777" w:rsidR="00A866B8" w:rsidRDefault="00A866B8" w:rsidP="0002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BFont Sans">
    <w:panose1 w:val="020B06030202020201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CE83C" w14:textId="77777777" w:rsidR="00A866B8" w:rsidRDefault="00A866B8" w:rsidP="000247B7">
      <w:r>
        <w:separator/>
      </w:r>
    </w:p>
  </w:footnote>
  <w:footnote w:type="continuationSeparator" w:id="0">
    <w:p w14:paraId="76316C37" w14:textId="77777777" w:rsidR="00A866B8" w:rsidRDefault="00A866B8" w:rsidP="0002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1690" w14:textId="27B870FB" w:rsidR="000247B7" w:rsidRDefault="00655549">
    <w:pPr>
      <w:pStyle w:val="Encabezado"/>
    </w:pPr>
    <w:r>
      <w:rPr>
        <w:noProof/>
      </w:rPr>
      <w:drawing>
        <wp:inline distT="0" distB="0" distL="0" distR="0" wp14:anchorId="4CFCF5CC" wp14:editId="2582D880">
          <wp:extent cx="1828800" cy="561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14:paraId="63B06794" w14:textId="77777777" w:rsidR="000247B7" w:rsidRDefault="000247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62332"/>
    <w:multiLevelType w:val="hybridMultilevel"/>
    <w:tmpl w:val="D5A2568C"/>
    <w:lvl w:ilvl="0" w:tplc="0409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B7"/>
    <w:rsid w:val="00021E91"/>
    <w:rsid w:val="000247B7"/>
    <w:rsid w:val="000763F5"/>
    <w:rsid w:val="000869FB"/>
    <w:rsid w:val="000C3338"/>
    <w:rsid w:val="00182396"/>
    <w:rsid w:val="001A3A7F"/>
    <w:rsid w:val="001C0161"/>
    <w:rsid w:val="001D110C"/>
    <w:rsid w:val="00247E9E"/>
    <w:rsid w:val="00285602"/>
    <w:rsid w:val="002D5585"/>
    <w:rsid w:val="00307134"/>
    <w:rsid w:val="003204FE"/>
    <w:rsid w:val="003B386B"/>
    <w:rsid w:val="003E6591"/>
    <w:rsid w:val="00404881"/>
    <w:rsid w:val="0043205C"/>
    <w:rsid w:val="004B0762"/>
    <w:rsid w:val="00577995"/>
    <w:rsid w:val="005D75A6"/>
    <w:rsid w:val="005F0992"/>
    <w:rsid w:val="00616D87"/>
    <w:rsid w:val="00623726"/>
    <w:rsid w:val="0063249C"/>
    <w:rsid w:val="00645526"/>
    <w:rsid w:val="00655549"/>
    <w:rsid w:val="006642CA"/>
    <w:rsid w:val="006D226B"/>
    <w:rsid w:val="00871DA5"/>
    <w:rsid w:val="008B64B5"/>
    <w:rsid w:val="00905EE4"/>
    <w:rsid w:val="00961368"/>
    <w:rsid w:val="00A17D30"/>
    <w:rsid w:val="00A866B8"/>
    <w:rsid w:val="00B55AB4"/>
    <w:rsid w:val="00BA1C56"/>
    <w:rsid w:val="00BA72A4"/>
    <w:rsid w:val="00D468EE"/>
    <w:rsid w:val="00DA2A78"/>
    <w:rsid w:val="00E9741D"/>
    <w:rsid w:val="00EC19FF"/>
    <w:rsid w:val="00F94F74"/>
    <w:rsid w:val="00FC7ED2"/>
    <w:rsid w:val="00FE6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C3AC1"/>
  <w15:chartTrackingRefBased/>
  <w15:docId w15:val="{6F6FEB98-70F9-E44B-B126-0267D880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7B7"/>
    <w:pPr>
      <w:tabs>
        <w:tab w:val="center" w:pos="4419"/>
        <w:tab w:val="right" w:pos="8838"/>
      </w:tabs>
    </w:pPr>
  </w:style>
  <w:style w:type="character" w:customStyle="1" w:styleId="EncabezadoCar">
    <w:name w:val="Encabezado Car"/>
    <w:basedOn w:val="Fuentedeprrafopredeter"/>
    <w:link w:val="Encabezado"/>
    <w:uiPriority w:val="99"/>
    <w:rsid w:val="000247B7"/>
  </w:style>
  <w:style w:type="paragraph" w:styleId="Piedepgina">
    <w:name w:val="footer"/>
    <w:basedOn w:val="Normal"/>
    <w:link w:val="PiedepginaCar"/>
    <w:uiPriority w:val="99"/>
    <w:unhideWhenUsed/>
    <w:rsid w:val="000247B7"/>
    <w:pPr>
      <w:tabs>
        <w:tab w:val="center" w:pos="4419"/>
        <w:tab w:val="right" w:pos="8838"/>
      </w:tabs>
    </w:pPr>
  </w:style>
  <w:style w:type="character" w:customStyle="1" w:styleId="PiedepginaCar">
    <w:name w:val="Pie de página Car"/>
    <w:basedOn w:val="Fuentedeprrafopredeter"/>
    <w:link w:val="Piedepgina"/>
    <w:uiPriority w:val="99"/>
    <w:rsid w:val="000247B7"/>
  </w:style>
  <w:style w:type="paragraph" w:styleId="Textodeglobo">
    <w:name w:val="Balloon Text"/>
    <w:basedOn w:val="Normal"/>
    <w:link w:val="TextodegloboCar"/>
    <w:uiPriority w:val="99"/>
    <w:semiHidden/>
    <w:unhideWhenUsed/>
    <w:rsid w:val="000247B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247B7"/>
    <w:rPr>
      <w:rFonts w:ascii="Times New Roman" w:hAnsi="Times New Roman" w:cs="Times New Roman"/>
      <w:sz w:val="18"/>
      <w:szCs w:val="18"/>
    </w:rPr>
  </w:style>
  <w:style w:type="table" w:styleId="Tablaconcuadrcula">
    <w:name w:val="Table Grid"/>
    <w:basedOn w:val="Tablanormal"/>
    <w:uiPriority w:val="39"/>
    <w:rsid w:val="0032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5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E491A3657D62D4AB08B5DB664AA207E" ma:contentTypeVersion="2" ma:contentTypeDescription="Crear nuevo documento." ma:contentTypeScope="" ma:versionID="ed486b8564dba4fa6257f8c4eaa856bb">
  <xsd:schema xmlns:xsd="http://www.w3.org/2001/XMLSchema" xmlns:xs="http://www.w3.org/2001/XMLSchema" xmlns:p="http://schemas.microsoft.com/office/2006/metadata/properties" xmlns:ns2="129c0407-590f-4d5f-a629-a34a176deeae" targetNamespace="http://schemas.microsoft.com/office/2006/metadata/properties" ma:root="true" ma:fieldsID="90e1dcc788c1e190e217d91827f9949a" ns2:_="">
    <xsd:import namespace="129c0407-590f-4d5f-a629-a34a176dee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c0407-590f-4d5f-a629-a34a176de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FDF74-57D3-46A6-A9EE-F1546A47EE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809E8-2DCF-423A-9332-EA44FB5D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c0407-590f-4d5f-a629-a34a176d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A5BD4-DCFF-43A8-8457-6FA8DA3F9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Manager/>
  <Company>Bancolombia</Company>
  <LinksUpToDate>false</LinksUpToDate>
  <CharactersWithSpaces>1456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Bancolombia</dc:creator>
  <cp:keywords/>
  <dc:description/>
  <cp:lastModifiedBy>Gabriel Alberto Fung Mangravita</cp:lastModifiedBy>
  <cp:revision>11</cp:revision>
  <cp:lastPrinted>2021-07-26T23:08:00Z</cp:lastPrinted>
  <dcterms:created xsi:type="dcterms:W3CDTF">2022-02-25T12:47:00Z</dcterms:created>
  <dcterms:modified xsi:type="dcterms:W3CDTF">2022-02-25T17:49:00Z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0x0101001E491A3657D62D4AB08B5DB664AA207E</vt:lpwstr>
  </property>
</Properties>
</file>